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Václavská 20, byt č. 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Staré Brno;   </w:t>
      </w:r>
      <w:r>
        <w:rPr>
          <w:b/>
          <w:sz w:val="22"/>
          <w:szCs w:val="22"/>
        </w:rPr>
        <w:t>Parcelní číslo:</w:t>
      </w:r>
      <w:r>
        <w:t xml:space="preserve"> 1717/1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106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790 000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</w:t>
      </w:r>
      <w:r>
        <w:t>, p</w:t>
      </w:r>
      <w:r>
        <w:t xml:space="preserve">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zárubně repase</w:t>
      </w:r>
      <w:r>
        <w:t xml:space="preserve"> a dveře nové </w:t>
      </w:r>
      <w:r>
        <w:t xml:space="preserve">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Prověřit možnost ponechání stávající koupelny.</w:t>
      </w:r>
    </w:p>
    <w:p>
      <w:pPr>
        <w:pStyle w:val="Bezmezer"/>
        <w:numPr>
          <w:ilvl w:val="0"/>
          <w:numId w:val="4"/>
        </w:numPr>
      </w:pPr>
      <w:r>
        <w:t>Prověřit možnost ponechání stávajícího WC.</w:t>
      </w:r>
    </w:p>
    <w:p>
      <w:pPr>
        <w:pStyle w:val="Bezmezer"/>
        <w:numPr>
          <w:ilvl w:val="0"/>
          <w:numId w:val="4"/>
        </w:numPr>
      </w:pPr>
      <w:r>
        <w:t>Balkon vyčistit,</w:t>
      </w:r>
      <w:r>
        <w:t xml:space="preserve"> </w:t>
      </w:r>
      <w:r>
        <w:t>zábradlí repasovat.</w:t>
      </w:r>
    </w:p>
    <w:p>
      <w:pPr>
        <w:pStyle w:val="Bezmezer"/>
        <w:ind w:left="360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27454-A0BA-46A8-884A-1C407F71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1615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2020-11-03T09:54:00Z</dcterms:created>
  <dcterms:modified xsi:type="dcterms:W3CDTF">2020-11-03T09:54:00Z</dcterms:modified>
</cp:coreProperties>
</file>